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A54D" w14:textId="7E9F9490" w:rsidR="002E15CD" w:rsidRDefault="00E15AFA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Título del artículo</w:t>
      </w:r>
    </w:p>
    <w:p w14:paraId="2098E775" w14:textId="081B0B22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completo 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>del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4183101C" w14:textId="1086C2BD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Correo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electrónico 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>del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4884DA74" w14:textId="65EC1028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Código 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 1</w:t>
      </w:r>
    </w:p>
    <w:p w14:paraId="4B1361A8" w14:textId="6F2C0DD1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Afiliación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 1</w:t>
      </w:r>
    </w:p>
    <w:p w14:paraId="09557FE4" w14:textId="30180B6C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9491B" w14:textId="59B8D72C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completo 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>del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6764195" w14:textId="289E8CA4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Correo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electrónico 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>del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BEFAD9" w14:textId="69D59566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Código 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57AED8D" w14:textId="597B4997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Afiliación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80AA746" w14:textId="7A1EF9AD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D516B" w14:textId="31302E3A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A2ABC" w14:textId="349A192E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806B3" w14:textId="0C0BC17D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completo 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>del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7885CC67" w14:textId="411E3B37" w:rsid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Correo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electrónico 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>del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FFF8148" w14:textId="0AC19582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Código 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6C4CC23" w14:textId="445DE18E" w:rsidR="00007223" w:rsidRPr="00007223" w:rsidRDefault="00007223" w:rsidP="00007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Afiliación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7EDE4692" w14:textId="77777777" w:rsidR="002E15CD" w:rsidRDefault="002E15CD">
      <w:pPr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4659CF" w14:textId="77777777" w:rsidR="002E15CD" w:rsidRDefault="002E15CD">
      <w:pPr>
        <w:spacing w:after="0" w:line="240" w:lineRule="auto"/>
        <w:rPr>
          <w:sz w:val="20"/>
          <w:szCs w:val="20"/>
        </w:rPr>
      </w:pPr>
    </w:p>
    <w:p w14:paraId="3793DD23" w14:textId="77777777" w:rsidR="002E15CD" w:rsidRDefault="002E15CD">
      <w:pPr>
        <w:spacing w:before="1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976467" w14:textId="77777777" w:rsidR="002E15CD" w:rsidRDefault="00E15AFA">
      <w:pPr>
        <w:spacing w:after="0" w:line="240" w:lineRule="auto"/>
        <w:ind w:left="3970" w:right="41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Resumen</w:t>
      </w:r>
    </w:p>
    <w:p w14:paraId="50F39158" w14:textId="77777777" w:rsidR="002E15CD" w:rsidRDefault="002E15CD">
      <w:pPr>
        <w:spacing w:before="3" w:after="0" w:line="130" w:lineRule="auto"/>
        <w:rPr>
          <w:sz w:val="13"/>
          <w:szCs w:val="13"/>
        </w:rPr>
      </w:pPr>
    </w:p>
    <w:p w14:paraId="2B1BB336" w14:textId="77777777" w:rsidR="002E15CD" w:rsidRDefault="002E15CD">
      <w:pPr>
        <w:spacing w:after="0" w:line="200" w:lineRule="auto"/>
        <w:rPr>
          <w:rFonts w:ascii="Times New Roman" w:eastAsia="Times New Roman" w:hAnsi="Times New Roman" w:cs="Times New Roman"/>
        </w:rPr>
      </w:pPr>
    </w:p>
    <w:p w14:paraId="60B6FB14" w14:textId="392456DB" w:rsidR="002E15CD" w:rsidRDefault="00E15AFA">
      <w:pPr>
        <w:spacing w:before="13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resumen debe ser un reflejo conciso pero completo de lo que hay en su artículo. El resumen debe indicar la naturaleza y contribución del estudio. En particular, el resumen debe ser autónomo, sin abreviaturas, fórmulas, notas a pie de página ni referenci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as. Asegúrese de que su resumen se lea bien y sea gramaticalmente correcto. </w:t>
      </w:r>
      <w:r w:rsidR="00007223" w:rsidRPr="00007223">
        <w:rPr>
          <w:rFonts w:ascii="Times New Roman" w:eastAsia="Times New Roman" w:hAnsi="Times New Roman" w:cs="Times New Roman"/>
          <w:sz w:val="24"/>
          <w:szCs w:val="24"/>
        </w:rPr>
        <w:t xml:space="preserve">Interfases publica tres tipos de artículos: trabajos de investigación (hasta 5,000 palabras), avances en investigación (hasta 2,800 palabras) y </w:t>
      </w:r>
      <w:r w:rsidR="00007223">
        <w:rPr>
          <w:rFonts w:ascii="Times New Roman" w:eastAsia="Times New Roman" w:hAnsi="Times New Roman" w:cs="Times New Roman"/>
          <w:sz w:val="24"/>
          <w:szCs w:val="24"/>
        </w:rPr>
        <w:t xml:space="preserve">artículos de </w:t>
      </w:r>
      <w:r w:rsidR="00007223" w:rsidRPr="00007223">
        <w:rPr>
          <w:rFonts w:ascii="Times New Roman" w:eastAsia="Times New Roman" w:hAnsi="Times New Roman" w:cs="Times New Roman"/>
          <w:sz w:val="24"/>
          <w:szCs w:val="24"/>
        </w:rPr>
        <w:t>revisiones (hasta 1,500 palabras). La estimación del número de palabras es sólo referencial.</w:t>
      </w:r>
      <w:r w:rsid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lista de palabras claves debe ser entre 3 a 5 palabras separadas por comas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B0DA6" w14:textId="77777777" w:rsidR="002E15CD" w:rsidRDefault="002E15CD">
      <w:pPr>
        <w:spacing w:after="0" w:line="240" w:lineRule="auto"/>
        <w:ind w:left="346" w:right="62"/>
        <w:jc w:val="both"/>
        <w:rPr>
          <w:rFonts w:ascii="Times New Roman" w:eastAsia="Times New Roman" w:hAnsi="Times New Roman" w:cs="Times New Roman"/>
        </w:rPr>
      </w:pPr>
    </w:p>
    <w:p w14:paraId="16D77BEA" w14:textId="77777777" w:rsidR="002E15CD" w:rsidRDefault="00E15AFA">
      <w:pPr>
        <w:spacing w:after="0" w:line="240" w:lineRule="auto"/>
        <w:ind w:left="426" w:right="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Palabras clave: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palabra clave 1, palabra clave 2.</w:t>
      </w:r>
    </w:p>
    <w:p w14:paraId="63B974FB" w14:textId="77777777" w:rsidR="002E15CD" w:rsidRDefault="002E15CD">
      <w:pPr>
        <w:spacing w:after="0" w:line="240" w:lineRule="auto"/>
        <w:ind w:left="346" w:right="62"/>
        <w:rPr>
          <w:rFonts w:ascii="Times New Roman" w:eastAsia="Times New Roman" w:hAnsi="Times New Roman" w:cs="Times New Roman"/>
        </w:rPr>
      </w:pPr>
    </w:p>
    <w:p w14:paraId="5CC9AB21" w14:textId="77777777" w:rsidR="002E15CD" w:rsidRDefault="00E15AFA">
      <w:pPr>
        <w:spacing w:before="7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proofErr w:type="spellEnd"/>
    </w:p>
    <w:p w14:paraId="3FB70B0C" w14:textId="77777777" w:rsidR="002E15CD" w:rsidRDefault="002E15CD">
      <w:pPr>
        <w:spacing w:before="13" w:after="0" w:line="260" w:lineRule="auto"/>
        <w:rPr>
          <w:rFonts w:ascii="Times New Roman" w:eastAsia="Times New Roman" w:hAnsi="Times New Roman" w:cs="Times New Roman"/>
        </w:rPr>
      </w:pPr>
    </w:p>
    <w:p w14:paraId="6C2FA113" w14:textId="2B71DD54" w:rsidR="002E15CD" w:rsidRDefault="00007223">
      <w:pPr>
        <w:spacing w:before="13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be a concise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complete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reflection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contribution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. In particular,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autonomous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abbreviations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, formulas,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footnotes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references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Make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sure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reads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grammatically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correct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. Interfases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publishes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articles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papers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(up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5,000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advances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(up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2,800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), and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articles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(up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1,500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estimate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reference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keyword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separated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223">
        <w:rPr>
          <w:rFonts w:ascii="Times New Roman" w:eastAsia="Times New Roman" w:hAnsi="Times New Roman" w:cs="Times New Roman"/>
          <w:sz w:val="24"/>
          <w:szCs w:val="24"/>
        </w:rPr>
        <w:t>commas</w:t>
      </w:r>
      <w:proofErr w:type="spellEnd"/>
      <w:r w:rsidRPr="000072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34E4F" w14:textId="77777777" w:rsidR="002E15CD" w:rsidRDefault="002E15CD">
      <w:pPr>
        <w:spacing w:before="13" w:after="0" w:line="260" w:lineRule="auto"/>
        <w:rPr>
          <w:rFonts w:ascii="Times New Roman" w:eastAsia="Times New Roman" w:hAnsi="Times New Roman" w:cs="Times New Roman"/>
        </w:rPr>
      </w:pPr>
    </w:p>
    <w:p w14:paraId="03202902" w14:textId="77777777" w:rsidR="002E15CD" w:rsidRDefault="00E15AFA">
      <w:pPr>
        <w:spacing w:after="0" w:line="240" w:lineRule="auto"/>
        <w:ind w:left="567"/>
        <w:jc w:val="both"/>
        <w:rPr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keyword1, keyword2.</w:t>
      </w:r>
    </w:p>
    <w:p w14:paraId="03D1F265" w14:textId="77777777" w:rsidR="002E15CD" w:rsidRDefault="002E15CD">
      <w:pPr>
        <w:spacing w:after="0" w:line="240" w:lineRule="auto"/>
        <w:ind w:left="567"/>
        <w:jc w:val="both"/>
        <w:rPr>
          <w:sz w:val="15"/>
          <w:szCs w:val="15"/>
        </w:rPr>
      </w:pPr>
    </w:p>
    <w:p w14:paraId="284CB6CE" w14:textId="77777777" w:rsidR="002E15CD" w:rsidRDefault="002E15CD">
      <w:pPr>
        <w:spacing w:after="0" w:line="200" w:lineRule="auto"/>
        <w:rPr>
          <w:rFonts w:ascii="Times New Roman" w:eastAsia="Times New Roman" w:hAnsi="Times New Roman" w:cs="Times New Roman"/>
        </w:rPr>
      </w:pPr>
    </w:p>
    <w:p w14:paraId="220DCA74" w14:textId="77777777" w:rsidR="002E15CD" w:rsidRDefault="002E15CD">
      <w:pPr>
        <w:spacing w:after="0" w:line="200" w:lineRule="auto"/>
        <w:rPr>
          <w:rFonts w:ascii="Times New Roman" w:eastAsia="Times New Roman" w:hAnsi="Times New Roman" w:cs="Times New Roman"/>
        </w:rPr>
      </w:pPr>
    </w:p>
    <w:p w14:paraId="061C95A1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  Introducción</w:t>
      </w:r>
    </w:p>
    <w:p w14:paraId="11A4F647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8C725" w14:textId="77777777" w:rsidR="002E15CD" w:rsidRDefault="00E15AFA">
      <w:pPr>
        <w:spacing w:before="13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presente plantilla puede ser utilizada para la realización de su artículo 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Microsoft 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 recomienda utilizar el editor de fórmulas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Microsoft 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Trate de colocar al final de la sección un párrafo en el que se describa brevemente las partes </w:t>
      </w:r>
      <w:r>
        <w:rPr>
          <w:rFonts w:ascii="Times New Roman" w:eastAsia="Times New Roman" w:hAnsi="Times New Roman" w:cs="Times New Roman"/>
          <w:sz w:val="24"/>
          <w:szCs w:val="24"/>
        </w:rPr>
        <w:t>de su artículo.</w:t>
      </w:r>
    </w:p>
    <w:p w14:paraId="1A4C7AE6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377FA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EE71D0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  Metodología</w:t>
      </w:r>
    </w:p>
    <w:p w14:paraId="0290F0B1" w14:textId="77777777" w:rsidR="002E15CD" w:rsidRDefault="002E1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6E5C4B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formato de referencia que se utilizará será APA, por ejemplo: Según el trabajo de Anderson (1983) …. o al finalizar la cita colocar (Anderson,1983). </w:t>
      </w:r>
    </w:p>
    <w:p w14:paraId="5DD7603F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IMPORTANTE: recomendamos utilizar la guía de Norma APA publicada po</w:t>
      </w:r>
      <w:r>
        <w:rPr>
          <w:rFonts w:ascii="Times New Roman" w:eastAsia="Times New Roman" w:hAnsi="Times New Roman" w:cs="Times New Roman"/>
          <w:sz w:val="24"/>
          <w:szCs w:val="24"/>
        </w:rPr>
        <w:t>r la Universidad de Lima, disponible en el enlace:</w:t>
      </w:r>
    </w:p>
    <w:p w14:paraId="2A9427CE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http://contenidos.ulima.edu.pe/bibliofiles/gsu/Guias_tutoriales/citas_referencias_apa.pdf</w:t>
        </w:r>
      </w:hyperlink>
    </w:p>
    <w:p w14:paraId="10C7D84A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guí</w:t>
      </w:r>
      <w:r>
        <w:rPr>
          <w:rFonts w:ascii="Times New Roman" w:eastAsia="Times New Roman" w:hAnsi="Times New Roman" w:cs="Times New Roman"/>
          <w:sz w:val="24"/>
          <w:szCs w:val="24"/>
        </w:rPr>
        <w:t>a le proporciona ejemplos para realizar citaciones, referencias en textos, figuras y tablas.</w:t>
      </w:r>
    </w:p>
    <w:p w14:paraId="5DC1492D" w14:textId="77777777" w:rsidR="002E15CD" w:rsidRDefault="002E1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212953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3B3729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  Resultados</w:t>
      </w:r>
    </w:p>
    <w:p w14:paraId="54BFE9D9" w14:textId="77777777" w:rsidR="002E15CD" w:rsidRDefault="002E15CD">
      <w:pPr>
        <w:spacing w:before="7" w:after="0" w:line="240" w:lineRule="auto"/>
        <w:rPr>
          <w:sz w:val="20"/>
          <w:szCs w:val="20"/>
        </w:rPr>
      </w:pPr>
    </w:p>
    <w:p w14:paraId="617B0E62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la medida de lo posible insertar las gráficas en formato del software en el que originalmente fueron creadas o como una imagen de alta resolución. Por ejemplo, en el caso de diagramas puede adjuntar el archivo fuente creado ya sea en Microsoft Word,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Point o Adobe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Illustrator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En el caso de las imágenes debe considerar enviarlo en formato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png, resolución mínima de 300 dpi, y tamaño mínimo de 190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mm.</w:t>
      </w:r>
      <w:proofErr w:type="spellEnd"/>
    </w:p>
    <w:p w14:paraId="48E3BCAA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IMPORTANTE debe permitir que las tablas y figuras sean editables o los textos de las figuras de</w:t>
      </w:r>
      <w:r>
        <w:rPr>
          <w:rFonts w:ascii="Times New Roman" w:eastAsia="Times New Roman" w:hAnsi="Times New Roman" w:cs="Times New Roman"/>
          <w:sz w:val="24"/>
          <w:szCs w:val="24"/>
        </w:rPr>
        <w:t>ben ser gramaticalmente correctas y sean de tamaño adecuado para ser leídos.</w:t>
      </w:r>
    </w:p>
    <w:p w14:paraId="63C99149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77AF4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before="97" w:after="0" w:line="240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Figura 1. </w:t>
      </w:r>
    </w:p>
    <w:p w14:paraId="5394CFE3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before="97" w:after="0" w:line="240" w:lineRule="auto"/>
        <w:ind w:right="44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Ejemplo de gráfica</w:t>
      </w:r>
    </w:p>
    <w:p w14:paraId="0EF80ADD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57A21" w14:textId="77777777" w:rsidR="002E15CD" w:rsidRDefault="002E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B2685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CE13106" wp14:editId="5622762A">
            <wp:extent cx="5305425" cy="3057525"/>
            <wp:effectExtent l="0" t="0" r="0" b="0"/>
            <wp:docPr id="4" name="image2.png" descr="Fig. 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ig. 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57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3190B0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0E8877A6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before="97" w:after="0" w:line="240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Nota. Datos tomados del repositorio publicado en Kandinsky (2009).</w:t>
      </w:r>
    </w:p>
    <w:p w14:paraId="2462C844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98B93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Tabla 1</w:t>
      </w:r>
    </w:p>
    <w:p w14:paraId="0F5C936C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right="44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Tiempo de respuesta algorítmico</w:t>
      </w:r>
    </w:p>
    <w:p w14:paraId="6D904403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right="44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"/>
        <w:tblW w:w="935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729"/>
        <w:gridCol w:w="1729"/>
        <w:gridCol w:w="1729"/>
        <w:gridCol w:w="1729"/>
        <w:gridCol w:w="1729"/>
      </w:tblGrid>
      <w:tr w:rsidR="002E15CD" w14:paraId="2A1D0B4B" w14:textId="77777777">
        <w:trPr>
          <w:trHeight w:val="343"/>
        </w:trPr>
        <w:tc>
          <w:tcPr>
            <w:tcW w:w="712" w:type="dxa"/>
          </w:tcPr>
          <w:p w14:paraId="528E269E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f(n)</w:t>
            </w:r>
          </w:p>
        </w:tc>
        <w:tc>
          <w:tcPr>
            <w:tcW w:w="1729" w:type="dxa"/>
          </w:tcPr>
          <w:p w14:paraId="326C5B3C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9" w:type="dxa"/>
          </w:tcPr>
          <w:p w14:paraId="01F4CC7D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9" w:type="dxa"/>
          </w:tcPr>
          <w:p w14:paraId="27559A06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9" w:type="dxa"/>
          </w:tcPr>
          <w:p w14:paraId="1A029E05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29" w:type="dxa"/>
          </w:tcPr>
          <w:p w14:paraId="7174D505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E15CD" w14:paraId="0E574A46" w14:textId="77777777">
        <w:trPr>
          <w:trHeight w:val="343"/>
        </w:trPr>
        <w:tc>
          <w:tcPr>
            <w:tcW w:w="712" w:type="dxa"/>
          </w:tcPr>
          <w:p w14:paraId="3746F412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29" w:type="dxa"/>
          </w:tcPr>
          <w:p w14:paraId="380E1661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0F7D57CA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569D9DF9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77C23F22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71FCE7D8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15CD" w14:paraId="2C67740E" w14:textId="77777777">
        <w:trPr>
          <w:trHeight w:val="349"/>
        </w:trPr>
        <w:tc>
          <w:tcPr>
            <w:tcW w:w="712" w:type="dxa"/>
          </w:tcPr>
          <w:p w14:paraId="45C91C32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129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40"/>
                <w:szCs w:val="40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4F4B8FEB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20DCF779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580EB346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470067DC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759D3E2E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15CD" w14:paraId="1B496152" w14:textId="77777777">
        <w:trPr>
          <w:trHeight w:val="349"/>
        </w:trPr>
        <w:tc>
          <w:tcPr>
            <w:tcW w:w="712" w:type="dxa"/>
          </w:tcPr>
          <w:p w14:paraId="17DC14FB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129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40"/>
                <w:szCs w:val="40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711D9721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173BC4CD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6AF9B108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08096177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6AECD8E3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15CD" w14:paraId="6DC2FFAD" w14:textId="77777777">
        <w:trPr>
          <w:trHeight w:val="352"/>
        </w:trPr>
        <w:tc>
          <w:tcPr>
            <w:tcW w:w="712" w:type="dxa"/>
          </w:tcPr>
          <w:p w14:paraId="69274D25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132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40"/>
                <w:szCs w:val="40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14:paraId="23C773C9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35B1BCB6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7EA17206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12A03D34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min.</w:t>
            </w:r>
          </w:p>
        </w:tc>
        <w:tc>
          <w:tcPr>
            <w:tcW w:w="1729" w:type="dxa"/>
          </w:tcPr>
          <w:p w14:paraId="2858B275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 min.</w:t>
            </w:r>
          </w:p>
        </w:tc>
      </w:tr>
      <w:tr w:rsidR="002E15CD" w14:paraId="116D4AE6" w14:textId="77777777">
        <w:trPr>
          <w:trHeight w:val="343"/>
        </w:trPr>
        <w:tc>
          <w:tcPr>
            <w:tcW w:w="712" w:type="dxa"/>
          </w:tcPr>
          <w:p w14:paraId="6CD7937F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after="0" w:line="124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729" w:type="dxa"/>
          </w:tcPr>
          <w:p w14:paraId="25424E86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7BCB26FE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3BA3E6F1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 min.</w:t>
            </w:r>
          </w:p>
        </w:tc>
        <w:tc>
          <w:tcPr>
            <w:tcW w:w="1729" w:type="dxa"/>
          </w:tcPr>
          <w:p w14:paraId="19DF9162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 días</w:t>
            </w:r>
          </w:p>
        </w:tc>
        <w:tc>
          <w:tcPr>
            <w:tcW w:w="1729" w:type="dxa"/>
          </w:tcPr>
          <w:p w14:paraId="30D90A4F" w14:textId="77777777" w:rsidR="002E15CD" w:rsidRDefault="00E15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1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35.1 años</w:t>
            </w:r>
          </w:p>
        </w:tc>
      </w:tr>
    </w:tbl>
    <w:p w14:paraId="28DF16FF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Nota. Resultados del experimento según la metodología de Aguilar (2013).</w:t>
      </w:r>
    </w:p>
    <w:p w14:paraId="11820C62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1B39D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el caso de ecuaciones matemáticas utilizar el editor de ecuaciones de Microsoft Word y debe enumerar las fórmulas.</w:t>
      </w:r>
    </w:p>
    <w:p w14:paraId="38F467BA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C0E4F" w14:textId="77777777" w:rsidR="002E15CD" w:rsidRDefault="00E15AFA">
      <w:pPr>
        <w:jc w:val="center"/>
      </w:pPr>
      <m:oMath>
        <m:f>
          <m:f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fPr>
          <m:num>
            <m:r>
              <w:rPr>
                <w:rFonts w:ascii="Cambria Math" w:eastAsia="Cambria Math" w:hAnsi="Cambria Math" w:cs="Cambria Math"/>
                <w:sz w:val="36"/>
                <w:szCs w:val="36"/>
              </w:rPr>
              <m:t>dB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>d</m:t>
                </m:r>
              </m:e>
              <m:sub>
                <m: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>t</m:t>
                </m:r>
              </m:sub>
            </m:sSub>
          </m:den>
        </m:f>
        <m:r>
          <w:rPr>
            <w:rFonts w:ascii="Cambria Math" w:eastAsia="Cambria Math" w:hAnsi="Cambria Math" w:cs="Cambria Math"/>
            <w:sz w:val="36"/>
            <w:szCs w:val="36"/>
          </w:rPr>
          <m:t>=-</m:t>
        </m:r>
        <m:sSup>
          <m:sSup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sSupPr>
          <m:e>
            <m:r>
              <w:rPr>
                <w:rFonts w:ascii="Cambria Math" w:eastAsia="Cambria Math" w:hAnsi="Cambria Math" w:cs="Cambria Math"/>
                <w:sz w:val="36"/>
                <w:szCs w:val="36"/>
              </w:rPr>
              <m:t>∝</m:t>
            </m:r>
          </m:e>
          <m:sup>
            <m:r>
              <w:rPr>
                <w:rFonts w:ascii="Cambria Math" w:eastAsia="Cambria Math" w:hAnsi="Cambria Math" w:cs="Cambria Math"/>
                <w:sz w:val="36"/>
                <w:szCs w:val="36"/>
              </w:rPr>
              <m:t>A</m:t>
            </m:r>
          </m:sup>
        </m:sSup>
      </m:oMath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t>(1)</w:t>
      </w:r>
    </w:p>
    <w:p w14:paraId="01FDA7F9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21A291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68DD6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before="97" w:after="0" w:line="240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Figura 2</w:t>
      </w:r>
    </w:p>
    <w:p w14:paraId="7D5C3091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before="97" w:after="0" w:line="240" w:lineRule="auto"/>
        <w:ind w:right="44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Las gráficas o imágenes deben ser bien legibles </w:t>
      </w:r>
    </w:p>
    <w:p w14:paraId="54C0251C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C7584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53AB1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31C11F0" wp14:editId="66E8CE25">
            <wp:extent cx="5791835" cy="477456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477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798E29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Nota. Tomado de Sánchez (2020).</w:t>
      </w:r>
    </w:p>
    <w:p w14:paraId="0F4FB076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1521D" w14:textId="77777777" w:rsidR="002E15CD" w:rsidRDefault="00E15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Tanto en las tablas como en las figuras debe indicar la fuente de la que se obtuvieron los datos o indicar elaboración propia.</w:t>
      </w:r>
    </w:p>
    <w:p w14:paraId="22282C08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DEE5E" w14:textId="77777777" w:rsidR="002E15CD" w:rsidRDefault="00E15AFA">
      <w:pPr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  Discusión de los resultados</w:t>
      </w:r>
    </w:p>
    <w:p w14:paraId="4F1E8695" w14:textId="77777777" w:rsidR="002E15CD" w:rsidRDefault="002E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DD479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Puede considerar la sección de discusiones para poner en cont</w:t>
      </w:r>
      <w:r>
        <w:rPr>
          <w:rFonts w:ascii="Times New Roman" w:eastAsia="Times New Roman" w:hAnsi="Times New Roman" w:cs="Times New Roman"/>
          <w:sz w:val="24"/>
          <w:szCs w:val="24"/>
        </w:rPr>
        <w:t>exto sus resultados según la revisión literaria presentada.</w:t>
      </w:r>
    </w:p>
    <w:p w14:paraId="506D17B3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2FD88" w14:textId="77777777" w:rsidR="002E15CD" w:rsidRDefault="002E1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4F32B" w14:textId="77777777" w:rsidR="002E15CD" w:rsidRDefault="00E15AFA">
      <w:pPr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  Conclusiones</w:t>
      </w:r>
    </w:p>
    <w:p w14:paraId="11618B45" w14:textId="77777777" w:rsidR="002E15CD" w:rsidRDefault="002E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896F4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Coloque en esta sección sus conclusiones, recomendaciones o trabajos futuros.</w:t>
      </w:r>
    </w:p>
    <w:p w14:paraId="3E33F405" w14:textId="77777777" w:rsidR="002E15CD" w:rsidRDefault="002E1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53470" w14:textId="77777777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Referencias</w:t>
      </w:r>
    </w:p>
    <w:p w14:paraId="3059979D" w14:textId="77777777" w:rsidR="002E15CD" w:rsidRDefault="002E15CD">
      <w:pPr>
        <w:spacing w:before="6" w:after="0" w:line="280" w:lineRule="auto"/>
        <w:rPr>
          <w:sz w:val="28"/>
          <w:szCs w:val="28"/>
        </w:rPr>
      </w:pPr>
    </w:p>
    <w:p w14:paraId="781A1D3A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Uzunboylu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(2021).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Learning-Teaching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Tools: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13(9). 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https://doi.org/10.3390/su1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3095018</w:t>
        </w:r>
      </w:hyperlink>
    </w:p>
    <w:p w14:paraId="1CE026F2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Al-Omar, K. (2018).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“Blackboard” LMS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and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386-390. 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https://doi.org/10.1109/iccmc.2018.8488038</w:t>
        </w:r>
      </w:hyperlink>
    </w:p>
    <w:p w14:paraId="5E42C28A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(28 de agosto del 2020). Capacitación sobre aspectos básicos. 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https://skillshop.exceedlms.com/student/path/111629-capacitacion-sobre-aspectos-basico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</w:hyperlink>
    </w:p>
    <w:p w14:paraId="422E23EA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Hernández Sampieri, R., Fernández Collado, C., y Baptista Lucio, M. del P. (2010). Metodología de la investigación (Quinta).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McGRAW-HILL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4A48A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Mendoza, S. H. V. (2015).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Google [Presentación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z w:val="24"/>
          <w:szCs w:val="24"/>
        </w:rPr>
        <w:t>eedings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ACM SIGUCCS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85-90. 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https://doi.org/10.1145/2815546.2815574</w:t>
        </w:r>
      </w:hyperlink>
    </w:p>
    <w:p w14:paraId="3BC94ED9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Nielsen, J. (1994).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Elsevier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https://books.google.com.pe/books?id=95As2OF67f0C</w:t>
        </w:r>
      </w:hyperlink>
    </w:p>
    <w:p w14:paraId="34E2B978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Nina, H., Enciso, L.,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 A. (2017). Software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Google Apps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 Antonio Abad del Cusco [Present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ación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Proceedings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Industrial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Colombia,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25-26, 2017, 701-710. 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http://ieomsociety.org/bogo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ta2017/papers/113.pdf</w:t>
        </w:r>
      </w:hyperlink>
    </w:p>
    <w:p w14:paraId="78F1F3E0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Nina, H. (2019). Implementación de un nuevo modelo de servicio computacional para mejorar la comunicación interna Universitaria Nacional de San Antonio Abad del Cusco [Tesis de Doctorado, Universidad Nacional Federico Villarreal]. Rep</w:t>
      </w:r>
      <w:r>
        <w:rPr>
          <w:rFonts w:ascii="Times New Roman" w:eastAsia="Times New Roman" w:hAnsi="Times New Roman" w:cs="Times New Roman"/>
          <w:sz w:val="24"/>
          <w:szCs w:val="24"/>
        </w:rPr>
        <w:t>ositorio Institucional de la Universidad Nacional Federico Villarreal. 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http://repositorio.unfv.edu.pe/handle/UNFV/3335</w:t>
        </w:r>
      </w:hyperlink>
    </w:p>
    <w:p w14:paraId="7525DCEC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Plataforma digital única del Estado Peruano. (11 de agosto del 2021). </w:t>
      </w:r>
      <w:r>
        <w:rPr>
          <w:rFonts w:ascii="Times New Roman" w:eastAsia="Times New Roman" w:hAnsi="Times New Roman" w:cs="Times New Roman"/>
          <w:sz w:val="24"/>
          <w:szCs w:val="24"/>
        </w:rPr>
        <w:t>Normatividad sobre coronavirus (COVID-19). 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https://www.gob.pe/institucion/minsa/colecciones/749-normatividad-sobre-coronavirus-covid-19</w:t>
        </w:r>
      </w:hyperlink>
    </w:p>
    <w:p w14:paraId="48993003" w14:textId="77777777" w:rsidR="002E15CD" w:rsidRDefault="00E15AFA">
      <w:pPr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UNESCO.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(2021). COVID-19: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Reopening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reimagining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UNESCO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Commissions. 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https://unesdoc.unesco.org/ark:/48223/pf0000378174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.locale=en</w:t>
        </w:r>
      </w:hyperlink>
    </w:p>
    <w:p w14:paraId="37D3BAAF" w14:textId="77777777" w:rsidR="002E15CD" w:rsidRDefault="002E15C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D8C03" w14:textId="1312511E" w:rsidR="002E15CD" w:rsidRDefault="00E1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IMPORTANTE: Las referencias deben presentarse en formato APA, en orden alfabético y deben corresponder estrictamente a las citas incluidas en el artículo. De tratarse de referencias de artículos publicados en revistas o actas de congreso incluir el DOI si </w:t>
      </w:r>
      <w:r>
        <w:rPr>
          <w:rFonts w:ascii="Times New Roman" w:eastAsia="Times New Roman" w:hAnsi="Times New Roman" w:cs="Times New Roman"/>
          <w:sz w:val="24"/>
          <w:szCs w:val="24"/>
        </w:rPr>
        <w:t>estuviere disponible o la URL de la fuente. Debe asegurarse de no dejar una cita sin hacer referencia o una referencia sin haber citado en el manuscrito.</w:t>
      </w:r>
    </w:p>
    <w:p w14:paraId="40BE9795" w14:textId="6ACA04FF" w:rsidR="00007223" w:rsidRDefault="0000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80423" w14:textId="77777777" w:rsidR="00007223" w:rsidRPr="00007223" w:rsidRDefault="00007223" w:rsidP="00007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b/>
          <w:bCs/>
          <w:sz w:val="24"/>
          <w:szCs w:val="24"/>
        </w:rPr>
        <w:t>Biografía</w:t>
      </w:r>
    </w:p>
    <w:p w14:paraId="632E8A9E" w14:textId="5263885B" w:rsidR="00007223" w:rsidRDefault="00007223" w:rsidP="0000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223">
        <w:rPr>
          <w:rFonts w:ascii="Times New Roman" w:eastAsia="Times New Roman" w:hAnsi="Times New Roman" w:cs="Times New Roman"/>
          <w:sz w:val="24"/>
          <w:szCs w:val="24"/>
        </w:rPr>
        <w:t>Incluya una breve biografía de cada autor que puede contener la siguiente información: nombre, universidad y especialidad de donde se graduó, cargo actual, premios e intereses de investigación.</w:t>
      </w:r>
    </w:p>
    <w:sectPr w:rsidR="00007223">
      <w:footerReference w:type="default" r:id="rId19"/>
      <w:pgSz w:w="12240" w:h="15840"/>
      <w:pgMar w:top="1701" w:right="1418" w:bottom="1134" w:left="1701" w:header="0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0983" w14:textId="77777777" w:rsidR="00E15AFA" w:rsidRDefault="00E15AFA">
      <w:pPr>
        <w:spacing w:after="0" w:line="240" w:lineRule="auto"/>
      </w:pPr>
      <w:r>
        <w:separator/>
      </w:r>
    </w:p>
  </w:endnote>
  <w:endnote w:type="continuationSeparator" w:id="0">
    <w:p w14:paraId="0F7DDCF4" w14:textId="77777777" w:rsidR="00E15AFA" w:rsidRDefault="00E1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7E23" w14:textId="77777777" w:rsidR="002E15CD" w:rsidRDefault="002E15CD">
    <w:pPr>
      <w:spacing w:after="0" w:line="20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9A9A" w14:textId="77777777" w:rsidR="00E15AFA" w:rsidRDefault="00E15AFA">
      <w:pPr>
        <w:spacing w:after="0" w:line="240" w:lineRule="auto"/>
      </w:pPr>
      <w:r>
        <w:separator/>
      </w:r>
    </w:p>
  </w:footnote>
  <w:footnote w:type="continuationSeparator" w:id="0">
    <w:p w14:paraId="26361C36" w14:textId="77777777" w:rsidR="00E15AFA" w:rsidRDefault="00E15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TA2tDA0MTW3MDZT0lEKTi0uzszPAykwrAUAn3qkgywAAAA="/>
  </w:docVars>
  <w:rsids>
    <w:rsidRoot w:val="002E15CD"/>
    <w:rsid w:val="00007223"/>
    <w:rsid w:val="002E15CD"/>
    <w:rsid w:val="00E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2BF3"/>
  <w15:docId w15:val="{31C40EFB-A466-48B9-A212-E435D1AD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A9142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14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C0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25E"/>
  </w:style>
  <w:style w:type="paragraph" w:styleId="Piedepgina">
    <w:name w:val="footer"/>
    <w:basedOn w:val="Normal"/>
    <w:link w:val="PiedepginaCar"/>
    <w:uiPriority w:val="99"/>
    <w:unhideWhenUsed/>
    <w:rsid w:val="00DD3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25E"/>
  </w:style>
  <w:style w:type="character" w:styleId="Textodelmarcadordeposicin">
    <w:name w:val="Placeholder Text"/>
    <w:basedOn w:val="Fuentedeprrafopredeter"/>
    <w:uiPriority w:val="99"/>
    <w:semiHidden/>
    <w:rsid w:val="00F82A66"/>
    <w:rPr>
      <w:color w:val="80808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7740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040B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0BD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0BD7"/>
    <w:pPr>
      <w:autoSpaceDE w:val="0"/>
      <w:autoSpaceDN w:val="0"/>
      <w:spacing w:after="0" w:line="301" w:lineRule="exact"/>
      <w:ind w:left="142"/>
    </w:pPr>
    <w:rPr>
      <w:rFonts w:ascii="Times New Roman" w:eastAsia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D1CE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259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9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9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9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9D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9D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145/2815546.2815574" TargetMode="External"/><Relationship Id="rId18" Type="http://schemas.openxmlformats.org/officeDocument/2006/relationships/hyperlink" Target="https://unesdoc.unesco.org/ark:/48223/pf0000378174.locale=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ontenidos.ulima.edu.pe/bibliofiles/gsu/Guias_tutoriales/citas_referencias_apa.pdf" TargetMode="External"/><Relationship Id="rId12" Type="http://schemas.openxmlformats.org/officeDocument/2006/relationships/hyperlink" Target="https://skillshop.exceedlms.com/student/path/111629-capacitacion-sobre-aspectos-basicos" TargetMode="External"/><Relationship Id="rId17" Type="http://schemas.openxmlformats.org/officeDocument/2006/relationships/hyperlink" Target="https://www.gob.pe/institucion/minsa/colecciones/749-normatividad-sobre-coronavirus-covid-19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io.unfv.edu.pe/handle/UNFV/333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09/iccmc.2018.84880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eomsociety.org/bogota2017/papers/113.pdf" TargetMode="External"/><Relationship Id="rId10" Type="http://schemas.openxmlformats.org/officeDocument/2006/relationships/hyperlink" Target="https://doi.org/10.3390/su1309501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books.google.com.pe/books?id=95As2OF67f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H75X4DEO3nB3RPasaQpTCcio2A==">AMUW2mXSJirdezn7G0369EtVpPCEx0XYRrfOYmrwKJuaEA5JOSGyJIUqOiABlYaHWbvINkwNSnDAeklLm/9blIdVTXQ/0UY3fLP4qndo2AnCUTntCVmuEzY=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1208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Hernan Nina</cp:lastModifiedBy>
  <cp:revision>2</cp:revision>
  <dcterms:created xsi:type="dcterms:W3CDTF">2022-02-10T16:23:00Z</dcterms:created>
  <dcterms:modified xsi:type="dcterms:W3CDTF">2022-02-15T23:23:00Z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2018-10-04T00:00:00Z</vt:filetime>
  </property>
</Properties>
</file>